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2        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2019年中国技能大赛——第十一届全国石油和化工行业职业技能竞赛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决赛报名汇总表</w:t>
      </w:r>
    </w:p>
    <w:p>
      <w:pPr>
        <w:adjustRightInd w:val="0"/>
        <w:snapToGrid w:val="0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参赛工种：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化工总控工</w:t>
      </w:r>
    </w:p>
    <w:tbl>
      <w:tblPr>
        <w:tblStyle w:val="3"/>
        <w:tblW w:w="13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选手3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adjustRightInd w:val="0"/>
        <w:snapToGrid w:val="0"/>
        <w:jc w:val="center"/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（此表可复制，电子版可在化学工业职业技能鉴定指导中心网站下载，网址：www.ciosta.org.cn）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A444F"/>
    <w:rsid w:val="0E5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2019-05-08T08:27:00Z</dcterms:created>
  <dc:creator>伊甸园的晨光</dc:creator>
  <cp:lastModifiedBy>伊甸园的晨光</cp:lastModifiedBy>
  <dcterms:modified xsi:type="dcterms:W3CDTF">2019-05-08T08:28:22Z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